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附件2</w:t>
      </w: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内蒙古自治区绿色矿山申报评估遴选工作流程</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仿宋" w:hAnsi="仿宋" w:eastAsia="仿宋" w:cs="仿宋"/>
          <w:b/>
          <w:spacing w:val="0"/>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一、申报</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仿宋" w:hAnsi="仿宋" w:eastAsia="仿宋" w:cs="仿宋"/>
          <w:spacing w:val="0"/>
          <w:sz w:val="32"/>
          <w:szCs w:val="32"/>
        </w:rPr>
      </w:pPr>
      <w:r>
        <w:rPr>
          <w:rFonts w:hint="eastAsia" w:ascii="仿宋" w:hAnsi="仿宋" w:eastAsia="仿宋" w:cs="仿宋"/>
          <w:spacing w:val="6"/>
          <w:sz w:val="32"/>
          <w:szCs w:val="32"/>
        </w:rPr>
        <w:t>矿山企业按照绿色矿山建设评价指标自评达到标准要求的，</w:t>
      </w:r>
      <w:r>
        <w:rPr>
          <w:rFonts w:hint="eastAsia" w:ascii="仿宋" w:hAnsi="仿宋" w:eastAsia="仿宋" w:cs="仿宋"/>
          <w:spacing w:val="0"/>
          <w:sz w:val="32"/>
          <w:szCs w:val="32"/>
        </w:rPr>
        <w:t>应向矿山所在地旗县级自然资源局提交自评估报告，申报绿色矿山评估遴选，申报材料清单如下：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（一）《营业执照》、《采矿许可证》、《安全生产许可证》；</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（二）矿业权出让收益（价款）处置、环境影响评价和环保竣工验收材料；</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（三）截至申报绿色矿山之日前3年，如受到自然资源、能源、生态环境、应急管理、矿山安全监管、林草等有关主管部门行政处罚，应提供已整改到位的佐证材料；</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（四）矿山上一年度储量年度报告；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（五）矿山企业绿色矿山自评报告、申请表；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（六）矿山企业对申报材料的真实性承诺书；</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（七）宣传片、遥感影像、现场照片等相关影像资料。</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二、初审</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旗县级自然资源局收到矿山企业申报材料后，组织生态环境、应急管理等有关主管部门，按照部门职能职责对矿山企业下列情况进行初审：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（一）《营业执照》、《采矿许可证》、《安全生产</w:t>
      </w:r>
      <w:r>
        <w:rPr>
          <w:rFonts w:hint="eastAsia" w:ascii="仿宋" w:hAnsi="仿宋" w:eastAsia="仿宋" w:cs="仿宋"/>
          <w:spacing w:val="-6"/>
          <w:sz w:val="32"/>
          <w:szCs w:val="32"/>
        </w:rPr>
        <w:t>许可证》证照</w:t>
      </w:r>
      <w:r>
        <w:rPr>
          <w:rFonts w:hint="eastAsia" w:ascii="仿宋" w:hAnsi="仿宋" w:eastAsia="仿宋" w:cs="仿宋"/>
          <w:spacing w:val="0"/>
          <w:sz w:val="32"/>
          <w:szCs w:val="32"/>
        </w:rPr>
        <w:t>合法有效；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（二）按规定完成矿业权出让收益（价款）处置、环境影响评价和环保竣工验收；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（三）按规定设立矿山地质环境治理恢复基金账户，足额缴存计提基金并按照《矿山地质环境保护与土地复垦方案》和《年度治理计划》完成矿山地质环境治理工作；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（四）截至申报绿色矿山之日前3年，未受到自然资源、能源、生态环境、应急管理、矿山安全监察等有关主管部门行政处罚或处罚已整改到位，未发生过较大及以上安全、环保事故；</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（五）按要求进行矿业权人勘查开采信息公示，未被列入异常名录，如被列入且处罚整改到位的须提供佐证材料；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（六）矿山评估前1年内正常生产（即到</w:t>
      </w:r>
      <w:r>
        <w:rPr>
          <w:rFonts w:hint="eastAsia" w:ascii="仿宋" w:hAnsi="仿宋" w:eastAsia="仿宋" w:cs="仿宋"/>
          <w:spacing w:val="-6"/>
          <w:sz w:val="32"/>
          <w:szCs w:val="32"/>
        </w:rPr>
        <w:t>评估前连续12个月</w:t>
      </w:r>
      <w:r>
        <w:rPr>
          <w:rFonts w:hint="eastAsia" w:ascii="仿宋" w:hAnsi="仿宋" w:eastAsia="仿宋" w:cs="仿宋"/>
          <w:spacing w:val="0"/>
          <w:sz w:val="32"/>
          <w:szCs w:val="32"/>
        </w:rPr>
        <w:t>及以上正常生产），且剩余储量可采年限（按储量年度报告）不少于3年；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6"/>
          <w:sz w:val="32"/>
          <w:szCs w:val="32"/>
        </w:rPr>
      </w:pPr>
      <w:r>
        <w:rPr>
          <w:rFonts w:hint="eastAsia" w:ascii="仿宋" w:hAnsi="仿宋" w:eastAsia="仿宋" w:cs="仿宋"/>
          <w:spacing w:val="0"/>
          <w:sz w:val="32"/>
          <w:szCs w:val="32"/>
        </w:rPr>
        <w:t>（七）</w:t>
      </w:r>
      <w:r>
        <w:rPr>
          <w:rFonts w:hint="eastAsia" w:ascii="仿宋" w:hAnsi="仿宋" w:eastAsia="仿宋" w:cs="仿宋"/>
          <w:spacing w:val="6"/>
          <w:sz w:val="32"/>
          <w:szCs w:val="32"/>
        </w:rPr>
        <w:t>矿山开采符合生态、环保、规划等各类差别化管控政策。</w:t>
      </w:r>
    </w:p>
    <w:p>
      <w:pPr>
        <w:keepNext w:val="0"/>
        <w:keepLines w:val="0"/>
        <w:pageBreakBefore w:val="0"/>
        <w:widowControl w:val="0"/>
        <w:kinsoku/>
        <w:wordWrap/>
        <w:overflowPunct/>
        <w:topLinePunct/>
        <w:autoSpaceDE/>
        <w:autoSpaceDN/>
        <w:bidi w:val="0"/>
        <w:adjustRightInd w:val="0"/>
        <w:snapToGrid w:val="0"/>
        <w:spacing w:line="580" w:lineRule="exact"/>
        <w:ind w:firstLine="664"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初审通过的，经旗县级人民政府同意后，上报盟市自然资源局。</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三、评估审查公示</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盟市自然资源局会同有关主管部门按规定委托第三方评估机构开展评估。评估工作严格执行国家绿色矿山第三方评估工作要求。对评估通过的矿山，盟市自然资源局会同有关主管部门对评估结果进行联合审定、开展实地核查、公示，公示时间不少于7个工作日，实地核查无问题且公示无异议的，经盟行政公署、市人民政府同意后，报自治区绿色矿山建设协调机制办公室。</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四、核查入库公告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自治区绿色矿山建设协调机制办公室组织有关主管部门对盟市上报的申报材料及审查意见开展资料核查，并按比例进行实地核查，核查通过的纳入自治区绿色矿山名录，向社会公告，接受社会监督。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五、动态管理</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（一）标注的情形。纳入绿色矿山名录的矿山企业出现下列情形之一的，应进行标注。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1.停产超过1年以上；</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2.矿区范围、开采方式、开采矿种等发生变更；</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3.相关监督检查中发现问题需要立行立改；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4.绿色矿山评估相关档案资料不健全；</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5.需要限期整改的事项。</w:t>
      </w:r>
    </w:p>
    <w:p>
      <w:pPr>
        <w:pStyle w:val="2"/>
        <w:keepNext w:val="0"/>
        <w:keepLines w:val="0"/>
        <w:pageBreakBefore w:val="0"/>
        <w:widowControl w:val="0"/>
        <w:kinsoku/>
        <w:wordWrap/>
        <w:overflowPunct/>
        <w:topLinePunct/>
        <w:autoSpaceDE/>
        <w:autoSpaceDN/>
        <w:bidi w:val="0"/>
        <w:spacing w:before="0" w:after="0" w:line="58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（二）限期整改的情形。纳入绿色矿山名录的矿山企业出现下列情形之一的，应进行限期整改，整改期限由提出问题的有关主管部门决定。</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1.绿色矿山监督检查中发现问题，需进行整改；</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2.证照过期；</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3.矿区环境不达标；</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b/>
          <w:spacing w:val="0"/>
          <w:sz w:val="32"/>
          <w:szCs w:val="32"/>
        </w:rPr>
      </w:pPr>
      <w:r>
        <w:rPr>
          <w:rFonts w:hint="eastAsia" w:ascii="仿宋" w:hAnsi="仿宋" w:eastAsia="仿宋" w:cs="仿宋"/>
          <w:spacing w:val="0"/>
          <w:sz w:val="32"/>
          <w:szCs w:val="32"/>
        </w:rPr>
        <w:t>4.采用国家禁止的过期淘汰设备和生产工艺；</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5.选矿及加工工艺落后，有污染风险；</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6.矿产资源“三率”等指标不达标；</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7.矿山地质环境治理与土地复垦不符合相关方案；</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8</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“三废”未得到有效处置和综合利用，有污染风险；</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9.能耗、物耗、水耗指标未达到规定要求。</w:t>
      </w:r>
    </w:p>
    <w:p>
      <w:pPr>
        <w:pStyle w:val="2"/>
        <w:keepNext w:val="0"/>
        <w:keepLines w:val="0"/>
        <w:pageBreakBefore w:val="0"/>
        <w:widowControl w:val="0"/>
        <w:kinsoku/>
        <w:wordWrap/>
        <w:overflowPunct/>
        <w:topLinePunct/>
        <w:autoSpaceDE/>
        <w:autoSpaceDN/>
        <w:bidi w:val="0"/>
        <w:spacing w:before="0" w:after="0" w:line="58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三）移出绿色矿山名录的情形。纳入绿色矿山名录的矿山企业出现下列情形之一的，由盟市级自然资源主管部门上报自治区自然资源厅审核，并征求相关部门审核同意后，移出绿色矿山名录，不再享受相应支持政策，并向社会公告，后续整改工作由问题涉及的相关部门负责监督，并将整改结果抄送自治区自然资源厅。</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1.矿山闭坑、企业破产或政策性关闭退出的；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6"/>
          <w:sz w:val="32"/>
          <w:szCs w:val="32"/>
        </w:rPr>
      </w:pPr>
      <w:r>
        <w:rPr>
          <w:rFonts w:hint="eastAsia" w:ascii="仿宋" w:hAnsi="仿宋" w:eastAsia="仿宋" w:cs="仿宋"/>
          <w:spacing w:val="0"/>
          <w:sz w:val="32"/>
          <w:szCs w:val="32"/>
        </w:rPr>
        <w:t>2.</w:t>
      </w:r>
      <w:r>
        <w:rPr>
          <w:rFonts w:hint="eastAsia" w:ascii="仿宋" w:hAnsi="仿宋" w:eastAsia="仿宋" w:cs="仿宋"/>
          <w:spacing w:val="6"/>
          <w:sz w:val="32"/>
          <w:szCs w:val="32"/>
        </w:rPr>
        <w:t>《采矿许可证》、《安全生产许可证》、《营业执照》被吊销的；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3.存在较大及以上生产安全或生态环境事故，或被列入矿业权人勘查开采信息公示异常名录且未完成整改的；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4.被中央环保督察、巡视审计等作为典型案例通报或纳入各类警示片的；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5.发生突发事件，因企业违法违规在全国门户类网站、平台引发负面舆情的；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b/>
          <w:spacing w:val="0"/>
          <w:sz w:val="32"/>
          <w:szCs w:val="32"/>
        </w:rPr>
      </w:pPr>
      <w:r>
        <w:rPr>
          <w:rFonts w:hint="eastAsia" w:ascii="仿宋" w:hAnsi="仿宋" w:eastAsia="仿宋" w:cs="仿宋"/>
          <w:spacing w:val="0"/>
          <w:sz w:val="32"/>
          <w:szCs w:val="32"/>
        </w:rPr>
        <w:t>6.矿山企业和第三方评估机构弄虚作假骗取列入绿色矿山名录的；</w:t>
      </w:r>
    </w:p>
    <w:p>
      <w:pPr>
        <w:pStyle w:val="2"/>
        <w:keepNext w:val="0"/>
        <w:keepLines w:val="0"/>
        <w:pageBreakBefore w:val="0"/>
        <w:widowControl w:val="0"/>
        <w:kinsoku/>
        <w:wordWrap/>
        <w:overflowPunct/>
        <w:topLinePunct/>
        <w:autoSpaceDE/>
        <w:autoSpaceDN/>
        <w:bidi w:val="0"/>
        <w:spacing w:before="0" w:after="0" w:line="58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7.有其他违法违规等行为不宜继续列入绿色矿山名录的。</w:t>
      </w:r>
    </w:p>
    <w:p>
      <w:pPr>
        <w:pStyle w:val="2"/>
        <w:keepNext w:val="0"/>
        <w:keepLines w:val="0"/>
        <w:pageBreakBefore w:val="0"/>
        <w:widowControl w:val="0"/>
        <w:kinsoku/>
        <w:wordWrap/>
        <w:overflowPunct/>
        <w:topLinePunct/>
        <w:autoSpaceDE/>
        <w:autoSpaceDN/>
        <w:bidi w:val="0"/>
        <w:spacing w:before="0" w:after="0" w:line="580" w:lineRule="exact"/>
        <w:ind w:left="0" w:leftChars="0" w:firstLine="0" w:firstLineChars="0"/>
        <w:textAlignment w:val="auto"/>
        <w:rPr>
          <w:rFonts w:hint="eastAsia" w:ascii="仿宋" w:hAnsi="仿宋" w:eastAsia="仿宋" w:cs="仿宋"/>
          <w:spacing w:val="0"/>
          <w:sz w:val="32"/>
          <w:szCs w:val="32"/>
        </w:rPr>
      </w:pPr>
    </w:p>
    <w:p>
      <w:pPr>
        <w:pStyle w:val="2"/>
        <w:keepNext w:val="0"/>
        <w:keepLines w:val="0"/>
        <w:pageBreakBefore w:val="0"/>
        <w:widowControl w:val="0"/>
        <w:kinsoku/>
        <w:wordWrap/>
        <w:overflowPunct/>
        <w:topLinePunct/>
        <w:autoSpaceDE/>
        <w:autoSpaceDN/>
        <w:bidi w:val="0"/>
        <w:spacing w:before="0" w:after="0" w:line="580" w:lineRule="exact"/>
        <w:ind w:left="0" w:leftChars="0" w:firstLine="0" w:firstLineChars="0"/>
        <w:textAlignment w:val="auto"/>
        <w:rPr>
          <w:rFonts w:hint="eastAsia" w:ascii="仿宋" w:hAnsi="仿宋" w:eastAsia="仿宋" w:cs="仿宋"/>
          <w:spacing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6FB6683"/>
    <w:rsid w:val="06FB6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adjustRightInd w:val="0"/>
      <w:snapToGrid w:val="0"/>
      <w:spacing w:before="100" w:after="100" w:line="580" w:lineRule="exact"/>
      <w:ind w:firstLine="576" w:firstLineChars="180"/>
    </w:pPr>
    <w:rPr>
      <w:rFonts w:ascii="仿宋_GB2312" w:hAnsi="黑体" w:eastAsia="仿宋_GB2312" w:cs="微软雅黑"/>
      <w:sz w:val="32"/>
      <w:szCs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2024-04-25T15:16:00Z</dcterms:created>
  <dc:creator>ZWGK</dc:creator>
  <cp:lastModifiedBy>ZWGK</cp:lastModifiedBy>
  <dcterms:modified xsi:type="dcterms:W3CDTF">2024-04-25T15:19:58Z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AFD3C84B3CB848418792034225B0FD27_11</vt:lpwstr>
  </property>
</Properties>
</file>