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4100"/>
        </w:tabs>
        <w:kinsoku/>
        <w:wordWrap/>
        <w:overflowPunct/>
        <w:topLinePunct/>
        <w:autoSpaceDE/>
        <w:autoSpaceDN/>
        <w:bidi w:val="0"/>
        <w:spacing w:line="240" w:lineRule="auto"/>
        <w:jc w:val="both"/>
        <w:textAlignment w:val="auto"/>
        <w:rPr>
          <w:rFonts w:hint="eastAsia" w:ascii="方正小标宋简体" w:hAnsi="宋体" w:eastAsia="方正小标宋简体"/>
          <w:spacing w:val="0"/>
          <w:sz w:val="44"/>
          <w:lang w:eastAsia="zh-CN"/>
        </w:rPr>
        <w:sectPr>
          <w:pgSz w:w="16838" w:h="11906" w:orient="landscape"/>
          <w:pgMar w:top="1803" w:right="1440" w:bottom="1803" w:left="1440" w:header="851" w:footer="992" w:gutter="0"/>
          <w:paperSrc/>
          <w:cols w:space="0" w:num="1"/>
          <w:rtlGutter w:val="0"/>
          <w:docGrid w:type="lines" w:linePitch="319" w:charSpace="0"/>
        </w:sectPr>
      </w:pP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9595" cy="8028305"/>
            <wp:effectExtent l="0" t="0" r="8255" b="10795"/>
            <wp:docPr id="22" name="图片 1" descr="内政办发13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内政办发13号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959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100"/>
        </w:tabs>
        <w:kinsoku/>
        <w:wordWrap/>
        <w:overflowPunct/>
        <w:topLinePunct/>
        <w:autoSpaceDE/>
        <w:autoSpaceDN/>
        <w:bidi w:val="0"/>
        <w:spacing w:line="240" w:lineRule="auto"/>
        <w:jc w:val="both"/>
        <w:textAlignment w:val="auto"/>
        <w:rPr>
          <w:rFonts w:hint="eastAsia" w:ascii="方正小标宋简体" w:hAnsi="宋体" w:eastAsia="方正小标宋简体"/>
          <w:spacing w:val="0"/>
          <w:sz w:val="44"/>
          <w:lang w:eastAsia="zh-CN"/>
        </w:rPr>
      </w:pP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840095" cy="8241665"/>
            <wp:effectExtent l="0" t="0" r="6985" b="8255"/>
            <wp:docPr id="21" name="图片 2" descr="内政办发13号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内政办发13号-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9968" cy="82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9595" cy="8001000"/>
            <wp:effectExtent l="0" t="0" r="0" b="8255"/>
            <wp:docPr id="20" name="图片 3" descr="内政办发13号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内政办发13号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959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50230" cy="8122920"/>
            <wp:effectExtent l="0" t="0" r="11430" b="7620"/>
            <wp:docPr id="19" name="图片 4" descr="内政办发13号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内政办发13号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023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22920"/>
            <wp:effectExtent l="0" t="0" r="11430" b="10795"/>
            <wp:docPr id="18" name="图片 5" descr="内政办发13号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内政办发13号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11490"/>
            <wp:effectExtent l="0" t="0" r="3810" b="10795"/>
            <wp:docPr id="17" name="图片 6" descr="内政办发13号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内政办发13号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9595" cy="8024495"/>
            <wp:effectExtent l="0" t="0" r="14605" b="8255"/>
            <wp:docPr id="16" name="图片 7" descr="内政办发13号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内政办发13号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959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11490"/>
            <wp:effectExtent l="0" t="0" r="3810" b="10795"/>
            <wp:docPr id="15" name="图片 8" descr="内政办发13号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内政办发13号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099425"/>
            <wp:effectExtent l="0" t="0" r="15875" b="10795"/>
            <wp:docPr id="14" name="图片 9" descr="内政办发13号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内政办发13号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50230" cy="8114665"/>
            <wp:effectExtent l="0" t="0" r="635" b="7620"/>
            <wp:docPr id="13" name="图片 10" descr="内政办发13号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内政办发13号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023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11490"/>
            <wp:effectExtent l="0" t="0" r="3810" b="10795"/>
            <wp:docPr id="12" name="图片 11" descr="内政办发13号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内政办发13号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22920"/>
            <wp:effectExtent l="0" t="0" r="11430" b="10795"/>
            <wp:docPr id="11" name="图片 12" descr="内政办发13号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内政办发13号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099425"/>
            <wp:effectExtent l="0" t="0" r="15875" b="10795"/>
            <wp:docPr id="10" name="图片 13" descr="内政办发13号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内政办发13号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7946390"/>
            <wp:effectExtent l="0" t="0" r="16510" b="10795"/>
            <wp:docPr id="9" name="图片 14" descr="内政办发13号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内政办发13号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8325" cy="8102600"/>
            <wp:effectExtent l="0" t="0" r="12700" b="9525"/>
            <wp:docPr id="8" name="图片 15" descr="内政办发13号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内政办发13号-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832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8325" cy="8102600"/>
            <wp:effectExtent l="0" t="0" r="12700" b="9525"/>
            <wp:docPr id="7" name="图片 16" descr="内政办发13号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内政办发13号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832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099425"/>
            <wp:effectExtent l="0" t="0" r="15875" b="10795"/>
            <wp:docPr id="6" name="图片 17" descr="内政办发13号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内政办发13号-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22920"/>
            <wp:effectExtent l="0" t="0" r="11430" b="10795"/>
            <wp:docPr id="5" name="图片 18" descr="内政办发13号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内政办发13号-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11490"/>
            <wp:effectExtent l="0" t="0" r="3810" b="10795"/>
            <wp:docPr id="4" name="图片 19" descr="内政办发13号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内政办发13号-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099425"/>
            <wp:effectExtent l="0" t="0" r="15875" b="10795"/>
            <wp:docPr id="3" name="图片 20" descr="内政办发13号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内政办发13号-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11490"/>
            <wp:effectExtent l="0" t="0" r="3810" b="10795"/>
            <wp:docPr id="2" name="图片 21" descr="内政办发13号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内政办发13号-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方正小标宋简体" w:hAnsi="宋体" w:eastAsia="方正小标宋简体"/>
          <w:spacing w:val="0"/>
          <w:sz w:val="44"/>
          <w:lang w:eastAsia="zh-CN"/>
        </w:rPr>
        <w:drawing>
          <wp:inline distT="0" distB="0" distL="114300" distR="114300">
            <wp:extent cx="5647055" cy="8122920"/>
            <wp:effectExtent l="0" t="0" r="11430" b="10795"/>
            <wp:docPr id="1" name="图片 22" descr="内政办发13号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内政办发13号-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05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tabs>
          <w:tab w:val="left" w:pos="4100"/>
        </w:tabs>
        <w:kinsoku/>
        <w:wordWrap/>
        <w:overflowPunct/>
        <w:topLinePunct/>
        <w:autoSpaceDE/>
        <w:autoSpaceDN/>
        <w:bidi w:val="0"/>
        <w:spacing w:line="580" w:lineRule="exact"/>
        <w:jc w:val="both"/>
        <w:textAlignment w:val="auto"/>
        <w:rPr>
          <w:rFonts w:hint="eastAsia" w:ascii="方正小标宋简体" w:hAnsi="宋体" w:eastAsia="方正小标宋简体"/>
          <w:spacing w:val="0"/>
          <w:sz w:val="44"/>
        </w:rPr>
        <w:sectPr>
          <w:pgSz w:w="16838" w:h="11906" w:orient="landscape"/>
          <w:pgMar w:top="1803" w:right="1440" w:bottom="1803" w:left="1440" w:header="851" w:footer="992" w:gutter="0"/>
          <w:paperSrc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4100"/>
        </w:tabs>
        <w:kinsoku/>
        <w:wordWrap/>
        <w:overflowPunct/>
        <w:topLinePunct/>
        <w:autoSpaceDE/>
        <w:autoSpaceDN/>
        <w:bidi w:val="0"/>
        <w:spacing w:line="580" w:lineRule="exact"/>
        <w:jc w:val="both"/>
        <w:textAlignment w:val="auto"/>
        <w:rPr>
          <w:rFonts w:hint="eastAsia" w:ascii="方正小标宋简体" w:hAnsi="宋体" w:eastAsia="方正小标宋简体"/>
          <w:spacing w:val="0"/>
          <w:sz w:val="44"/>
        </w:rPr>
      </w:pPr>
    </w:p>
    <w:p>
      <w:pPr>
        <w:keepNext w:val="0"/>
        <w:keepLines w:val="0"/>
        <w:pageBreakBefore w:val="0"/>
        <w:widowControl w:val="0"/>
        <w:tabs>
          <w:tab w:val="left" w:pos="4100"/>
        </w:tabs>
        <w:kinsoku/>
        <w:wordWrap/>
        <w:overflowPunct/>
        <w:topLinePunct/>
        <w:autoSpaceDE/>
        <w:autoSpaceDN/>
        <w:bidi w:val="0"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</w:rPr>
        <w:t>说</w:t>
      </w:r>
      <w:r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  <w:lang w:val="en-US" w:eastAsia="zh-CN"/>
        </w:rPr>
        <w:t xml:space="preserve">    </w:t>
      </w:r>
      <w:r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4"/>
          <w:szCs w:val="44"/>
        </w:rPr>
        <w:t>明</w:t>
      </w:r>
    </w:p>
    <w:p>
      <w:pPr>
        <w:keepNext w:val="0"/>
        <w:keepLines w:val="0"/>
        <w:pageBreakBefore w:val="0"/>
        <w:widowControl w:val="0"/>
        <w:tabs>
          <w:tab w:val="left" w:pos="4100"/>
        </w:tabs>
        <w:kinsoku/>
        <w:wordWrap/>
        <w:overflowPunct/>
        <w:topLinePunct/>
        <w:autoSpaceDE/>
        <w:autoSpaceDN/>
        <w:bidi w:val="0"/>
        <w:spacing w:line="580" w:lineRule="exact"/>
        <w:jc w:val="both"/>
        <w:textAlignment w:val="auto"/>
        <w:rPr>
          <w:rFonts w:hint="eastAsia" w:ascii="方正小标宋简体" w:hAnsi="宋体" w:eastAsia="方正小标宋简体"/>
          <w:spacing w:val="0"/>
          <w:sz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《内蒙古自治区绿色矿山建设评价指标（试行）》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包含先决条</w:t>
      </w:r>
      <w:r>
        <w:rPr>
          <w:rFonts w:hint="eastAsia" w:ascii="仿宋" w:hAnsi="仿宋" w:eastAsia="仿宋" w:cs="仿宋"/>
          <w:spacing w:val="6"/>
          <w:sz w:val="32"/>
          <w:szCs w:val="32"/>
        </w:rPr>
        <w:t>件和评分表两部分。先决条件属于否决项，有一项达不到要求，</w:t>
      </w:r>
      <w:r>
        <w:rPr>
          <w:rFonts w:hint="eastAsia" w:ascii="仿宋" w:hAnsi="仿宋" w:eastAsia="仿宋" w:cs="仿宋"/>
          <w:spacing w:val="0"/>
          <w:sz w:val="32"/>
          <w:szCs w:val="32"/>
        </w:rPr>
        <w:t>则不能参与绿色矿山遴选工作。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pacing w:val="0"/>
          <w:sz w:val="32"/>
          <w:szCs w:val="32"/>
        </w:rPr>
      </w:pPr>
      <w:r>
        <w:rPr>
          <w:rFonts w:hint="eastAsia" w:ascii="黑体" w:hAnsi="黑体" w:eastAsia="黑体" w:cs="黑体"/>
          <w:spacing w:val="0"/>
          <w:sz w:val="32"/>
          <w:szCs w:val="32"/>
        </w:rPr>
        <w:t>一、计分办法与达标说明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（一）评价指标分别从矿区环境、资源开采、资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源综合利用、</w:t>
      </w:r>
      <w:r>
        <w:rPr>
          <w:rFonts w:hint="eastAsia" w:ascii="仿宋" w:hAnsi="仿宋" w:eastAsia="仿宋" w:cs="仿宋"/>
          <w:spacing w:val="0"/>
          <w:sz w:val="32"/>
          <w:szCs w:val="32"/>
        </w:rPr>
        <w:t>绿色低碳、生态修复、科技创新与规范管理六个方面对绿色矿山建设水平进行评分。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（二）评价指标分为约束性指标、提升性指标两类，非金属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0"/>
          <w:sz w:val="32"/>
          <w:szCs w:val="32"/>
        </w:rPr>
        <w:t>有球磨选矿的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0"/>
          <w:sz w:val="32"/>
          <w:szCs w:val="32"/>
        </w:rPr>
        <w:t>、化工、黄金、煤炭、冶金、</w:t>
      </w:r>
      <w:r>
        <w:rPr>
          <w:rFonts w:hint="eastAsia" w:ascii="仿宋" w:hAnsi="仿宋" w:eastAsia="仿宋" w:cs="仿宋"/>
          <w:spacing w:val="6"/>
          <w:sz w:val="32"/>
          <w:szCs w:val="32"/>
        </w:rPr>
        <w:t>有色金属等行业，</w:t>
      </w:r>
      <w:r>
        <w:rPr>
          <w:rFonts w:hint="eastAsia" w:ascii="仿宋" w:hAnsi="仿宋" w:eastAsia="仿宋" w:cs="仿宋"/>
          <w:spacing w:val="0"/>
          <w:sz w:val="32"/>
          <w:szCs w:val="32"/>
        </w:rPr>
        <w:t>评价指标合计55项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pacing w:val="0"/>
          <w:sz w:val="32"/>
          <w:szCs w:val="32"/>
        </w:rPr>
        <w:t>其中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0"/>
          <w:sz w:val="32"/>
          <w:szCs w:val="32"/>
        </w:rPr>
        <w:t>约束性指标19项（38分），所有约束性指标必须得满分，若一项不得满分则不达标；提升性指标36项（62分），体现差异性，按评分表内的评分说明进行评分。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非金属（非球磨选矿的）、水泥灰岩、地热（水）、矿泉水行业，评价指标合计50项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pacing w:val="0"/>
          <w:sz w:val="32"/>
          <w:szCs w:val="32"/>
        </w:rPr>
        <w:t>其中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0"/>
          <w:sz w:val="32"/>
          <w:szCs w:val="32"/>
        </w:rPr>
        <w:t>约束性指标16项（32分），所有约束性指标必须得满分，若一项不得满分则不达标；提升性指标34项（68分），体现差异性，按评分表内的评分说明进行评分。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适用于砂石粘土矿，评价指标合计46项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pacing w:val="0"/>
          <w:sz w:val="32"/>
          <w:szCs w:val="32"/>
        </w:rPr>
        <w:t>其中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0"/>
          <w:sz w:val="32"/>
          <w:szCs w:val="32"/>
        </w:rPr>
        <w:t>约束性指标15项（28分），所有约束性指标必须得满分，若一项不得满分则不达标；提升性指标31项（72分），体现差异性，按评分表内的评分说明进行评分。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（三）不涉及项计分。经判定某项指标属于不涉及项的，按大类采用折合法计分。不涉及项要在评分表中明确说明判定依据和理由。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（四）评价指标总分 100分，总得分原则上不低于60分。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（五）加分项：对矿产资源全面节约、高效利用、生态修复贡献较大的矿山企业，在原有评分基础上给予2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pacing w:val="0"/>
          <w:sz w:val="32"/>
          <w:szCs w:val="32"/>
        </w:rPr>
        <w:t>5分奖励加分。对推广使用《矿产资源节约和综合利用先进适用技术目录》中的技术工艺和设备的矿山和矿产资源开发利用水平领先的矿山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给</w:t>
      </w:r>
      <w:r>
        <w:rPr>
          <w:rFonts w:hint="eastAsia" w:ascii="仿宋" w:hAnsi="仿宋" w:eastAsia="仿宋" w:cs="仿宋"/>
          <w:spacing w:val="6"/>
          <w:sz w:val="32"/>
          <w:szCs w:val="32"/>
          <w:lang w:eastAsia="zh-CN"/>
        </w:rPr>
        <w:t>予</w:t>
      </w:r>
      <w:r>
        <w:rPr>
          <w:rFonts w:hint="eastAsia" w:ascii="仿宋" w:hAnsi="仿宋" w:eastAsia="仿宋" w:cs="仿宋"/>
          <w:spacing w:val="6"/>
          <w:sz w:val="32"/>
          <w:szCs w:val="32"/>
        </w:rPr>
        <w:t>1</w:t>
      </w:r>
      <w:r>
        <w:rPr>
          <w:rFonts w:hint="eastAsia" w:ascii="仿宋" w:hAnsi="仿宋" w:eastAsia="仿宋" w:cs="仿宋"/>
          <w:spacing w:val="6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pacing w:val="6"/>
          <w:sz w:val="32"/>
          <w:szCs w:val="32"/>
        </w:rPr>
        <w:t>2分奖励加分，对实现矿区生态修复带动区域产业发展、</w:t>
      </w:r>
      <w:r>
        <w:rPr>
          <w:rFonts w:hint="eastAsia" w:ascii="仿宋" w:hAnsi="仿宋" w:eastAsia="仿宋" w:cs="仿宋"/>
          <w:spacing w:val="0"/>
          <w:sz w:val="32"/>
          <w:szCs w:val="32"/>
        </w:rPr>
        <w:t>助力乡村振兴，体现矿山企业社会责任和社会贡献的矿山，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给予</w:t>
      </w:r>
      <w:r>
        <w:rPr>
          <w:rFonts w:hint="eastAsia" w:ascii="仿宋" w:hAnsi="仿宋" w:eastAsia="仿宋" w:cs="仿宋"/>
          <w:spacing w:val="0"/>
          <w:sz w:val="32"/>
          <w:szCs w:val="32"/>
        </w:rPr>
        <w:t>1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pacing w:val="0"/>
          <w:sz w:val="32"/>
          <w:szCs w:val="32"/>
        </w:rPr>
        <w:t>3分奖励加分。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pacing w:val="0"/>
          <w:sz w:val="32"/>
          <w:szCs w:val="32"/>
        </w:rPr>
      </w:pPr>
      <w:r>
        <w:rPr>
          <w:rFonts w:hint="eastAsia" w:ascii="黑体" w:hAnsi="黑体" w:eastAsia="黑体" w:cs="黑体"/>
          <w:spacing w:val="0"/>
          <w:sz w:val="32"/>
          <w:szCs w:val="32"/>
        </w:rPr>
        <w:t>二、评分说明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（一）某一指标评分说明中属于扣分的，最多扣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完该项分值。</w:t>
      </w:r>
      <w:r>
        <w:rPr>
          <w:rFonts w:hint="eastAsia" w:ascii="仿宋" w:hAnsi="仿宋" w:eastAsia="仿宋" w:cs="仿宋"/>
          <w:spacing w:val="0"/>
          <w:sz w:val="32"/>
          <w:szCs w:val="32"/>
        </w:rPr>
        <w:t>某一指标评分说明里属于增分的，最多增至该项总分。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（二）所有得分必须有依据并要保留证明材料，在“检查记录”栏里写明得到相应分值的原因，缺少支撑材料或证明材料不得分。如需填写内容较多，可在评估报告中重点描述。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（三）对于集中建设的选矿加工等配套系统，应明确关联关系，可统一纳入评估考虑。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（四）对于调查问卷、现场考核、专家打分取平均值等评估方式，需要在“检查记录”说明里进行详细描述。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方正小标宋_GBK" w:hAnsi="方正小标宋_GBK" w:eastAsia="仿宋" w:cs="方正小标宋_GBK"/>
          <w:b w:val="0"/>
          <w:bCs w:val="0"/>
          <w:spacing w:val="0"/>
          <w:sz w:val="44"/>
          <w:szCs w:val="44"/>
          <w:lang w:val="en-US" w:eastAsia="zh-CN"/>
        </w:rPr>
        <w:sectPr>
          <w:pgSz w:w="11906" w:h="16838"/>
          <w:pgMar w:top="1440" w:right="1803" w:bottom="1440" w:left="1803" w:header="851" w:footer="992" w:gutter="0"/>
          <w:paperSrc/>
          <w:cols w:space="0" w:num="1"/>
          <w:rtlGutter w:val="0"/>
          <w:docGrid w:type="lines" w:linePitch="319" w:charSpace="0"/>
        </w:sectPr>
      </w:pPr>
      <w:r>
        <w:rPr>
          <w:rFonts w:hint="eastAsia" w:ascii="仿宋" w:hAnsi="仿宋" w:eastAsia="仿宋" w:cs="仿宋"/>
          <w:spacing w:val="0"/>
          <w:sz w:val="32"/>
          <w:szCs w:val="32"/>
        </w:rPr>
        <w:t>（五）需要现场查看的内容，在“检查记录”里应写明哪些</w:t>
      </w:r>
      <w:r>
        <w:rPr>
          <w:rFonts w:hint="eastAsia" w:ascii="仿宋" w:hAnsi="仿宋" w:eastAsia="仿宋" w:cs="仿宋"/>
          <w:spacing w:val="6"/>
          <w:sz w:val="32"/>
          <w:szCs w:val="32"/>
        </w:rPr>
        <w:t>工作人员到什么现场看了什么内容（设备、设施、厂地、环境、</w:t>
      </w:r>
      <w:r>
        <w:rPr>
          <w:rFonts w:hint="eastAsia" w:ascii="仿宋" w:hAnsi="仿宋" w:eastAsia="仿宋" w:cs="仿宋"/>
          <w:spacing w:val="0"/>
          <w:sz w:val="32"/>
          <w:szCs w:val="32"/>
        </w:rPr>
        <w:t>现场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等）。</w:t>
      </w:r>
    </w:p>
    <w:p/>
    <w:sectPr>
      <w:pgSz w:w="11906" w:h="16838"/>
      <w:pgMar w:top="1440" w:right="1803" w:bottom="1440" w:left="1803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Arial Unicode MS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lZjk5NDFjN2E0NTZiZDgzNTc3NmI3N2IyMjUxOTYifQ=="/>
  </w:docVars>
  <w:rsids>
    <w:rsidRoot w:val="08B45EB1"/>
    <w:rsid w:val="08B45EB1"/>
    <w:rsid w:val="52150E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2024-04-25T15:06:00Z</dcterms:created>
  <dc:creator>ZWGK</dc:creator>
  <cp:lastModifiedBy>ZWGK</cp:lastModifiedBy>
  <dcterms:modified xsi:type="dcterms:W3CDTF">2024-04-25T15:15:31Z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FB71633918F9498CAB0A9611115504A1_11</vt:lpwstr>
  </property>
</Properties>
</file>